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3725" w14:textId="441796AC" w:rsidR="009608C3" w:rsidRDefault="004D20A6">
      <w:r>
        <w:rPr>
          <w:noProof/>
        </w:rPr>
        <w:drawing>
          <wp:anchor distT="0" distB="0" distL="114300" distR="114300" simplePos="0" relativeHeight="251658240" behindDoc="0" locked="0" layoutInCell="1" allowOverlap="1" wp14:anchorId="3BD1F2FC" wp14:editId="68915AC7">
            <wp:simplePos x="0" y="0"/>
            <wp:positionH relativeFrom="margin">
              <wp:posOffset>426720</wp:posOffset>
            </wp:positionH>
            <wp:positionV relativeFrom="margin">
              <wp:posOffset>0</wp:posOffset>
            </wp:positionV>
            <wp:extent cx="5943600" cy="3575685"/>
            <wp:effectExtent l="0" t="0" r="0" b="5715"/>
            <wp:wrapSquare wrapText="bothSides"/>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575685"/>
                    </a:xfrm>
                    <a:prstGeom prst="rect">
                      <a:avLst/>
                    </a:prstGeom>
                  </pic:spPr>
                </pic:pic>
              </a:graphicData>
            </a:graphic>
          </wp:anchor>
        </w:drawing>
      </w:r>
    </w:p>
    <w:p w14:paraId="57FC2285" w14:textId="1CF7BBEE" w:rsidR="004D20A6" w:rsidRDefault="004D20A6"/>
    <w:p w14:paraId="66F15E78" w14:textId="54C20699" w:rsidR="004D20A6" w:rsidRDefault="004D20A6"/>
    <w:p w14:paraId="3283EFBA" w14:textId="77777777" w:rsidR="004D20A6" w:rsidRDefault="004D20A6"/>
    <w:p w14:paraId="3A590FE3" w14:textId="2B5484CC" w:rsidR="004D20A6" w:rsidRDefault="004D20A6"/>
    <w:p w14:paraId="31DD4700" w14:textId="7C2B6534" w:rsidR="004D20A6" w:rsidRDefault="004D20A6">
      <w:r>
        <w:rPr>
          <w:noProof/>
        </w:rPr>
        <w:drawing>
          <wp:inline distT="0" distB="0" distL="0" distR="0" wp14:anchorId="5386F0DB" wp14:editId="765A2ADD">
            <wp:extent cx="6858000" cy="2548255"/>
            <wp:effectExtent l="0" t="0" r="0" b="444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858000" cy="2548255"/>
                    </a:xfrm>
                    <a:prstGeom prst="rect">
                      <a:avLst/>
                    </a:prstGeom>
                  </pic:spPr>
                </pic:pic>
              </a:graphicData>
            </a:graphic>
          </wp:inline>
        </w:drawing>
      </w:r>
    </w:p>
    <w:p w14:paraId="27D68516" w14:textId="60B236DC" w:rsidR="004D20A6" w:rsidRDefault="004D20A6" w:rsidP="00E231FC">
      <w:pPr>
        <w:spacing w:line="276" w:lineRule="auto"/>
      </w:pPr>
    </w:p>
    <w:p w14:paraId="2FEF8651" w14:textId="1DF90F4B" w:rsidR="00E231FC" w:rsidRDefault="00E231FC" w:rsidP="00E231FC">
      <w:pPr>
        <w:spacing w:line="276" w:lineRule="auto"/>
      </w:pPr>
      <w:r>
        <w:t>The results</w:t>
      </w:r>
      <w:r w:rsidR="00430770">
        <w:t xml:space="preserve"> of</w:t>
      </w:r>
      <w:r>
        <w:t xml:space="preserve"> the surveys in this article are not as important for our purposes as is the review of the techniques available for including learners of different levels when teaching on rounds. The chart below describes several possible techniques, and the bar graph reports which techniques trainees said was most effective.    After you review the chart below, you’ll be asked to give examples of how you could incorporate the “broadening” and “targeting” techniques into your teaching.</w:t>
      </w:r>
    </w:p>
    <w:p w14:paraId="057B7F27" w14:textId="064764D5" w:rsidR="004D20A6" w:rsidRDefault="004D20A6">
      <w:r>
        <w:rPr>
          <w:noProof/>
        </w:rPr>
        <w:lastRenderedPageBreak/>
        <w:drawing>
          <wp:inline distT="0" distB="0" distL="0" distR="0" wp14:anchorId="4862FA11" wp14:editId="32807CFB">
            <wp:extent cx="6858000" cy="5000625"/>
            <wp:effectExtent l="0" t="0" r="0" b="3175"/>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58000" cy="5000625"/>
                    </a:xfrm>
                    <a:prstGeom prst="rect">
                      <a:avLst/>
                    </a:prstGeom>
                  </pic:spPr>
                </pic:pic>
              </a:graphicData>
            </a:graphic>
          </wp:inline>
        </w:drawing>
      </w:r>
    </w:p>
    <w:p w14:paraId="7BF3E2F7" w14:textId="296E2A0C" w:rsidR="004D20A6" w:rsidRDefault="004D20A6"/>
    <w:p w14:paraId="024FD5FF" w14:textId="4BD13DA0" w:rsidR="004D20A6" w:rsidRDefault="004D20A6"/>
    <w:p w14:paraId="3536007D" w14:textId="77777777" w:rsidR="004D20A6" w:rsidRDefault="004D20A6"/>
    <w:p w14:paraId="6B7FCCEB" w14:textId="28DE272A" w:rsidR="004D20A6" w:rsidRDefault="004D20A6">
      <w:r>
        <w:rPr>
          <w:noProof/>
        </w:rPr>
        <w:drawing>
          <wp:inline distT="0" distB="0" distL="0" distR="0" wp14:anchorId="38671D73" wp14:editId="4E8F9941">
            <wp:extent cx="5923280" cy="3388165"/>
            <wp:effectExtent l="0" t="0" r="0" b="317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75576" cy="3418079"/>
                    </a:xfrm>
                    <a:prstGeom prst="rect">
                      <a:avLst/>
                    </a:prstGeom>
                  </pic:spPr>
                </pic:pic>
              </a:graphicData>
            </a:graphic>
          </wp:inline>
        </w:drawing>
      </w:r>
    </w:p>
    <w:p w14:paraId="6D91406F" w14:textId="7861DBC8" w:rsidR="00E231FC" w:rsidRDefault="00E231FC"/>
    <w:tbl>
      <w:tblPr>
        <w:tblStyle w:val="TableGrid"/>
        <w:tblW w:w="10507" w:type="dxa"/>
        <w:tblInd w:w="288" w:type="dxa"/>
        <w:tblLook w:val="04A0" w:firstRow="1" w:lastRow="0" w:firstColumn="1" w:lastColumn="0" w:noHBand="0" w:noVBand="1"/>
      </w:tblPr>
      <w:tblGrid>
        <w:gridCol w:w="10507"/>
      </w:tblGrid>
      <w:tr w:rsidR="00E231FC" w:rsidRPr="00582B4F" w14:paraId="7F031DD4" w14:textId="77777777" w:rsidTr="00E231FC">
        <w:tc>
          <w:tcPr>
            <w:tcW w:w="10507" w:type="dxa"/>
            <w:shd w:val="clear" w:color="auto" w:fill="D9D9D9" w:themeFill="background1" w:themeFillShade="D9"/>
          </w:tcPr>
          <w:p w14:paraId="2A7C00E9" w14:textId="77777777" w:rsidR="00E231FC" w:rsidRDefault="00E231FC" w:rsidP="009403F6">
            <w:pPr>
              <w:pStyle w:val="ListParagraph"/>
              <w:ind w:left="0"/>
              <w:jc w:val="center"/>
              <w:rPr>
                <w:b/>
                <w:sz w:val="28"/>
                <w:szCs w:val="28"/>
              </w:rPr>
            </w:pPr>
          </w:p>
          <w:p w14:paraId="723BBABD" w14:textId="77777777" w:rsidR="00E231FC" w:rsidRDefault="00E231FC" w:rsidP="009403F6">
            <w:pPr>
              <w:pStyle w:val="ListParagraph"/>
              <w:ind w:left="0"/>
              <w:jc w:val="center"/>
              <w:rPr>
                <w:b/>
                <w:sz w:val="28"/>
                <w:szCs w:val="28"/>
              </w:rPr>
            </w:pPr>
            <w:proofErr w:type="gramStart"/>
            <w:r>
              <w:rPr>
                <w:b/>
                <w:sz w:val="28"/>
                <w:szCs w:val="28"/>
              </w:rPr>
              <w:t>Broadening  -</w:t>
            </w:r>
            <w:proofErr w:type="gramEnd"/>
            <w:r>
              <w:rPr>
                <w:b/>
                <w:sz w:val="28"/>
                <w:szCs w:val="28"/>
              </w:rPr>
              <w:t xml:space="preserve">  “What if…?” questions</w:t>
            </w:r>
          </w:p>
          <w:p w14:paraId="7877EB87" w14:textId="77777777" w:rsidR="00E231FC" w:rsidRDefault="00E231FC" w:rsidP="009403F6">
            <w:pPr>
              <w:pStyle w:val="ListParagraph"/>
              <w:ind w:left="0"/>
              <w:jc w:val="center"/>
              <w:rPr>
                <w:b/>
                <w:sz w:val="28"/>
                <w:szCs w:val="28"/>
              </w:rPr>
            </w:pPr>
          </w:p>
          <w:p w14:paraId="0DDF60FB" w14:textId="4D9846C3" w:rsidR="00E231FC" w:rsidRPr="00E231FC" w:rsidRDefault="00E231FC" w:rsidP="00E231FC">
            <w:pPr>
              <w:jc w:val="center"/>
              <w:rPr>
                <w:sz w:val="28"/>
                <w:szCs w:val="28"/>
              </w:rPr>
            </w:pPr>
            <w:r w:rsidRPr="00E231FC">
              <w:rPr>
                <w:sz w:val="28"/>
                <w:szCs w:val="28"/>
              </w:rPr>
              <w:t>Write three “What if…?” questions that you can use on rounds.</w:t>
            </w:r>
          </w:p>
          <w:p w14:paraId="584C37BC" w14:textId="3F17C4A2" w:rsidR="00E231FC" w:rsidRPr="00582B4F" w:rsidRDefault="00E231FC" w:rsidP="00E231FC">
            <w:pPr>
              <w:rPr>
                <w:b/>
                <w:sz w:val="28"/>
                <w:szCs w:val="28"/>
              </w:rPr>
            </w:pPr>
          </w:p>
        </w:tc>
      </w:tr>
      <w:tr w:rsidR="00E231FC" w:rsidRPr="00A4565A" w14:paraId="4A7CB48E" w14:textId="77777777" w:rsidTr="00E231FC">
        <w:tc>
          <w:tcPr>
            <w:tcW w:w="10507" w:type="dxa"/>
            <w:shd w:val="clear" w:color="auto" w:fill="F2F2F2" w:themeFill="background1" w:themeFillShade="F2"/>
          </w:tcPr>
          <w:p w14:paraId="359C5BDB" w14:textId="77777777" w:rsidR="00E231FC" w:rsidRPr="00A4565A" w:rsidRDefault="00E231FC" w:rsidP="009403F6">
            <w:pPr>
              <w:pStyle w:val="ListParagraph"/>
              <w:spacing w:line="276" w:lineRule="auto"/>
              <w:ind w:left="0"/>
              <w:rPr>
                <w:bCs/>
                <w:sz w:val="28"/>
                <w:szCs w:val="28"/>
              </w:rPr>
            </w:pPr>
            <w:proofErr w:type="gramStart"/>
            <w:r w:rsidRPr="00A4565A">
              <w:rPr>
                <w:bCs/>
              </w:rPr>
              <w:t>e.g.</w:t>
            </w:r>
            <w:proofErr w:type="gramEnd"/>
            <w:r w:rsidRPr="00A4565A">
              <w:rPr>
                <w:bCs/>
              </w:rPr>
              <w:t xml:space="preserve"> During a typical consult for a pre-op evaluation:  What if this patient had a mechanical aortic valve?  How would we manage the anticoagulation peri-operatively?</w:t>
            </w:r>
          </w:p>
        </w:tc>
      </w:tr>
      <w:tr w:rsidR="00E231FC" w:rsidRPr="00560F2F" w14:paraId="29E5E731" w14:textId="77777777" w:rsidTr="00E231FC">
        <w:tc>
          <w:tcPr>
            <w:tcW w:w="10507" w:type="dxa"/>
          </w:tcPr>
          <w:p w14:paraId="2D2776D1" w14:textId="77777777" w:rsidR="00E231FC" w:rsidRDefault="00E231FC" w:rsidP="009403F6">
            <w:pPr>
              <w:pStyle w:val="ListParagraph"/>
              <w:ind w:left="0"/>
              <w:rPr>
                <w:b/>
              </w:rPr>
            </w:pPr>
            <w:r>
              <w:rPr>
                <w:b/>
              </w:rPr>
              <w:t>1.</w:t>
            </w:r>
          </w:p>
          <w:p w14:paraId="5E05F17D" w14:textId="77777777" w:rsidR="00E231FC" w:rsidRDefault="00E231FC" w:rsidP="009403F6">
            <w:pPr>
              <w:pStyle w:val="ListParagraph"/>
              <w:ind w:left="0"/>
              <w:rPr>
                <w:b/>
              </w:rPr>
            </w:pPr>
          </w:p>
          <w:p w14:paraId="250E1FC7" w14:textId="77777777" w:rsidR="00E231FC" w:rsidRPr="00560F2F" w:rsidRDefault="00E231FC" w:rsidP="009403F6">
            <w:pPr>
              <w:pStyle w:val="ListParagraph"/>
              <w:ind w:left="0"/>
              <w:rPr>
                <w:b/>
              </w:rPr>
            </w:pPr>
          </w:p>
        </w:tc>
      </w:tr>
      <w:tr w:rsidR="00E231FC" w:rsidRPr="00560F2F" w14:paraId="3EECEA37" w14:textId="77777777" w:rsidTr="00E231FC">
        <w:tc>
          <w:tcPr>
            <w:tcW w:w="10507" w:type="dxa"/>
          </w:tcPr>
          <w:p w14:paraId="73E30ABB" w14:textId="77777777" w:rsidR="00E231FC" w:rsidRDefault="00E231FC" w:rsidP="009403F6">
            <w:pPr>
              <w:pStyle w:val="ListParagraph"/>
              <w:ind w:left="0"/>
              <w:rPr>
                <w:b/>
              </w:rPr>
            </w:pPr>
            <w:r>
              <w:rPr>
                <w:b/>
              </w:rPr>
              <w:t xml:space="preserve">2. </w:t>
            </w:r>
          </w:p>
          <w:p w14:paraId="681F9028" w14:textId="77777777" w:rsidR="00E231FC" w:rsidRDefault="00E231FC" w:rsidP="009403F6">
            <w:pPr>
              <w:pStyle w:val="ListParagraph"/>
              <w:ind w:left="0"/>
              <w:rPr>
                <w:b/>
              </w:rPr>
            </w:pPr>
          </w:p>
          <w:p w14:paraId="1DEA41D9" w14:textId="77777777" w:rsidR="00E231FC" w:rsidRPr="00560F2F" w:rsidRDefault="00E231FC" w:rsidP="009403F6">
            <w:pPr>
              <w:pStyle w:val="ListParagraph"/>
              <w:ind w:left="0"/>
              <w:rPr>
                <w:b/>
              </w:rPr>
            </w:pPr>
          </w:p>
        </w:tc>
      </w:tr>
    </w:tbl>
    <w:p w14:paraId="5D39726D" w14:textId="0642819D" w:rsidR="00E231FC" w:rsidRDefault="00E231FC"/>
    <w:p w14:paraId="407308D3" w14:textId="1826679D" w:rsidR="00E231FC" w:rsidRDefault="00E231FC"/>
    <w:p w14:paraId="1461A72A" w14:textId="77777777" w:rsidR="00E231FC" w:rsidRDefault="00E231FC"/>
    <w:p w14:paraId="382692E1" w14:textId="3ADDA04C" w:rsidR="00E231FC" w:rsidRDefault="00E231FC"/>
    <w:tbl>
      <w:tblPr>
        <w:tblStyle w:val="TableGrid"/>
        <w:tblW w:w="0" w:type="auto"/>
        <w:tblInd w:w="265" w:type="dxa"/>
        <w:tblLook w:val="04A0" w:firstRow="1" w:lastRow="0" w:firstColumn="1" w:lastColumn="0" w:noHBand="0" w:noVBand="1"/>
      </w:tblPr>
      <w:tblGrid>
        <w:gridCol w:w="10525"/>
      </w:tblGrid>
      <w:tr w:rsidR="00E231FC" w14:paraId="07FC2AB5" w14:textId="77777777" w:rsidTr="00E231FC">
        <w:tc>
          <w:tcPr>
            <w:tcW w:w="10525" w:type="dxa"/>
            <w:shd w:val="clear" w:color="auto" w:fill="BFBFBF" w:themeFill="background1" w:themeFillShade="BF"/>
          </w:tcPr>
          <w:p w14:paraId="44700730" w14:textId="77777777" w:rsidR="00E231FC" w:rsidRDefault="00E231FC" w:rsidP="009403F6">
            <w:pPr>
              <w:jc w:val="center"/>
              <w:rPr>
                <w:b/>
                <w:bCs/>
                <w:sz w:val="28"/>
                <w:szCs w:val="28"/>
              </w:rPr>
            </w:pPr>
          </w:p>
          <w:p w14:paraId="18D0A245" w14:textId="77777777" w:rsidR="00E231FC" w:rsidRPr="00046364" w:rsidRDefault="00E231FC" w:rsidP="009403F6">
            <w:pPr>
              <w:jc w:val="center"/>
              <w:rPr>
                <w:b/>
                <w:bCs/>
                <w:sz w:val="32"/>
                <w:szCs w:val="32"/>
              </w:rPr>
            </w:pPr>
            <w:r w:rsidRPr="00046364">
              <w:rPr>
                <w:b/>
                <w:bCs/>
                <w:sz w:val="32"/>
                <w:szCs w:val="32"/>
              </w:rPr>
              <w:t>Targeting</w:t>
            </w:r>
          </w:p>
          <w:p w14:paraId="16EDDEC7" w14:textId="77777777" w:rsidR="00E231FC" w:rsidRPr="00046364" w:rsidRDefault="00E231FC" w:rsidP="009403F6">
            <w:pPr>
              <w:jc w:val="center"/>
              <w:rPr>
                <w:b/>
                <w:bCs/>
                <w:sz w:val="28"/>
                <w:szCs w:val="28"/>
              </w:rPr>
            </w:pPr>
          </w:p>
          <w:p w14:paraId="3E882420" w14:textId="79BC6848" w:rsidR="00E231FC" w:rsidRDefault="00E231FC" w:rsidP="009403F6">
            <w:pPr>
              <w:jc w:val="center"/>
            </w:pPr>
            <w:r>
              <w:t xml:space="preserve">Give two examples of </w:t>
            </w:r>
            <w:r w:rsidR="00C32790">
              <w:t>how</w:t>
            </w:r>
            <w:r>
              <w:t xml:space="preserve"> you could use the “targeting” approach.  </w:t>
            </w:r>
            <w:r w:rsidR="00C32790">
              <w:t>For each scenario, w</w:t>
            </w:r>
            <w:r>
              <w:t xml:space="preserve">rite the questions you would ask to 2 </w:t>
            </w:r>
            <w:r w:rsidR="00C32790">
              <w:t>different</w:t>
            </w:r>
            <w:r>
              <w:t xml:space="preserve"> levels of learners (</w:t>
            </w:r>
            <w:proofErr w:type="gramStart"/>
            <w:r w:rsidR="00C32790">
              <w:t>e.g.</w:t>
            </w:r>
            <w:proofErr w:type="gramEnd"/>
            <w:r w:rsidR="00C32790">
              <w:t xml:space="preserve"> </w:t>
            </w:r>
            <w:r>
              <w:t>student, resident,</w:t>
            </w:r>
            <w:r w:rsidR="00C32790">
              <w:t xml:space="preserve"> or</w:t>
            </w:r>
            <w:r>
              <w:t xml:space="preserve"> fellow).</w:t>
            </w:r>
          </w:p>
          <w:p w14:paraId="07DEC36F" w14:textId="77777777" w:rsidR="00E231FC" w:rsidRDefault="00E231FC" w:rsidP="009403F6">
            <w:pPr>
              <w:jc w:val="center"/>
            </w:pPr>
          </w:p>
        </w:tc>
      </w:tr>
      <w:tr w:rsidR="00E231FC" w14:paraId="19C6AE9A" w14:textId="77777777" w:rsidTr="00E231FC">
        <w:tc>
          <w:tcPr>
            <w:tcW w:w="10525" w:type="dxa"/>
          </w:tcPr>
          <w:p w14:paraId="6FFF09C3" w14:textId="5AC09BA5" w:rsidR="00E231FC" w:rsidRDefault="00E231FC" w:rsidP="009403F6">
            <w:r>
              <w:t>E</w:t>
            </w:r>
            <w:r w:rsidR="00C32790">
              <w:t xml:space="preserve">xample scenario: </w:t>
            </w:r>
            <w:r>
              <w:t xml:space="preserve"> While discussing a patient with </w:t>
            </w:r>
            <w:r w:rsidR="00630D5D">
              <w:t>heart failure with reduced EF (</w:t>
            </w:r>
            <w:proofErr w:type="spellStart"/>
            <w:r w:rsidR="00630D5D">
              <w:t>HFrEF</w:t>
            </w:r>
            <w:proofErr w:type="spellEnd"/>
            <w:r w:rsidR="00630D5D">
              <w:t>)</w:t>
            </w:r>
            <w:r>
              <w:t xml:space="preserve">:  </w:t>
            </w:r>
          </w:p>
          <w:p w14:paraId="26267DE5" w14:textId="37A533BE" w:rsidR="00E231FC" w:rsidRDefault="00E231FC" w:rsidP="00E231FC">
            <w:pPr>
              <w:pStyle w:val="ListParagraph"/>
              <w:numPr>
                <w:ilvl w:val="0"/>
                <w:numId w:val="1"/>
              </w:numPr>
            </w:pPr>
            <w:r>
              <w:t xml:space="preserve">To the resident – </w:t>
            </w:r>
            <w:r w:rsidR="00630D5D">
              <w:t xml:space="preserve">Which medications for </w:t>
            </w:r>
            <w:proofErr w:type="spellStart"/>
            <w:r w:rsidR="00630D5D">
              <w:t>HFrEF</w:t>
            </w:r>
            <w:proofErr w:type="spellEnd"/>
            <w:r w:rsidR="00630D5D">
              <w:t xml:space="preserve"> have mortality benefit</w:t>
            </w:r>
            <w:r>
              <w:t>?</w:t>
            </w:r>
          </w:p>
          <w:p w14:paraId="3E31BF09" w14:textId="77777777" w:rsidR="00E231FC" w:rsidRDefault="00E231FC" w:rsidP="00E231FC">
            <w:pPr>
              <w:pStyle w:val="ListParagraph"/>
              <w:numPr>
                <w:ilvl w:val="0"/>
                <w:numId w:val="1"/>
              </w:numPr>
            </w:pPr>
            <w:r>
              <w:t xml:space="preserve">To the fellow – What are the indications </w:t>
            </w:r>
            <w:r w:rsidR="00630D5D">
              <w:t xml:space="preserve">for </w:t>
            </w:r>
            <w:proofErr w:type="spellStart"/>
            <w:r w:rsidR="00630D5D">
              <w:t>BiV</w:t>
            </w:r>
            <w:proofErr w:type="spellEnd"/>
            <w:r w:rsidR="00630D5D">
              <w:t xml:space="preserve"> pacing for a patient with HFrEF</w:t>
            </w:r>
            <w:r>
              <w:t xml:space="preserve">?  </w:t>
            </w:r>
          </w:p>
          <w:p w14:paraId="2DB87E01" w14:textId="4BF9835F" w:rsidR="00C32790" w:rsidRDefault="00C32790" w:rsidP="00C32790">
            <w:pPr>
              <w:pStyle w:val="ListParagraph"/>
            </w:pPr>
          </w:p>
        </w:tc>
      </w:tr>
      <w:tr w:rsidR="00E231FC" w14:paraId="5FDD0AE5" w14:textId="77777777" w:rsidTr="00E231FC">
        <w:tc>
          <w:tcPr>
            <w:tcW w:w="10525" w:type="dxa"/>
          </w:tcPr>
          <w:p w14:paraId="7625134C" w14:textId="30E65D89" w:rsidR="00E231FC" w:rsidRDefault="00C32790" w:rsidP="009403F6">
            <w:r>
              <w:t>Scenario 1:</w:t>
            </w:r>
          </w:p>
          <w:p w14:paraId="294098CF" w14:textId="77777777" w:rsidR="00E231FC" w:rsidRDefault="00E231FC" w:rsidP="009403F6"/>
          <w:p w14:paraId="07624426" w14:textId="68C6AF51" w:rsidR="00E231FC" w:rsidRDefault="00E231FC" w:rsidP="009403F6"/>
        </w:tc>
      </w:tr>
      <w:tr w:rsidR="00E231FC" w14:paraId="2E5AD314" w14:textId="77777777" w:rsidTr="00E231FC">
        <w:tc>
          <w:tcPr>
            <w:tcW w:w="10525" w:type="dxa"/>
          </w:tcPr>
          <w:p w14:paraId="3DF7C9A9" w14:textId="06435F91" w:rsidR="00E231FC" w:rsidRDefault="00C32790" w:rsidP="009403F6">
            <w:r>
              <w:t>Scenario 2:</w:t>
            </w:r>
          </w:p>
          <w:p w14:paraId="761F2DCC" w14:textId="77777777" w:rsidR="00E231FC" w:rsidRDefault="00E231FC" w:rsidP="009403F6"/>
          <w:p w14:paraId="66002365" w14:textId="2E3303A2" w:rsidR="00E231FC" w:rsidRDefault="00E231FC" w:rsidP="009403F6"/>
        </w:tc>
      </w:tr>
    </w:tbl>
    <w:p w14:paraId="635B664A" w14:textId="77777777" w:rsidR="00E231FC" w:rsidRDefault="00E231FC"/>
    <w:sectPr w:rsidR="00E231FC" w:rsidSect="004D20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E23"/>
    <w:multiLevelType w:val="hybridMultilevel"/>
    <w:tmpl w:val="BEDA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46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A6"/>
    <w:rsid w:val="00430770"/>
    <w:rsid w:val="004D20A6"/>
    <w:rsid w:val="00630D5D"/>
    <w:rsid w:val="009608C3"/>
    <w:rsid w:val="00C32790"/>
    <w:rsid w:val="00C61F65"/>
    <w:rsid w:val="00D92955"/>
    <w:rsid w:val="00E231FC"/>
    <w:rsid w:val="00FB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78B9"/>
  <w15:chartTrackingRefBased/>
  <w15:docId w15:val="{6843A5B9-0243-1847-BAEC-582738A5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FC"/>
    <w:pPr>
      <w:ind w:left="720"/>
      <w:contextualSpacing/>
    </w:pPr>
    <w:rPr>
      <w:rFonts w:eastAsiaTheme="minorEastAsia"/>
    </w:rPr>
  </w:style>
  <w:style w:type="table" w:styleId="TableGrid">
    <w:name w:val="Table Grid"/>
    <w:basedOn w:val="TableNormal"/>
    <w:uiPriority w:val="59"/>
    <w:rsid w:val="00E231F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Kaiser</dc:creator>
  <cp:keywords/>
  <dc:description/>
  <cp:lastModifiedBy>Christy Kaiser</cp:lastModifiedBy>
  <cp:revision>7</cp:revision>
  <dcterms:created xsi:type="dcterms:W3CDTF">2020-12-13T22:41:00Z</dcterms:created>
  <dcterms:modified xsi:type="dcterms:W3CDTF">2022-05-04T12:40:00Z</dcterms:modified>
</cp:coreProperties>
</file>